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dniach 25-26 maja 2026 roku w ZEN.com EXPO Rzeszów – Jasionka, odbędzie się 22. edycja Smart City Forum – najważniejsze w Polsce spotkanie liderów samorządowych, ekspertów technologicznych i przedstawicieli administracji publicznej, poświęcone nowoczesnemu zarządzaniu miastem.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Tegoroczna edycja wydarzenia ponownie towarzyszyć będzie Kongresowi Bezpieczeństwo Polski. Wspólnie stworzą przestrzeń do rozmowy o tym, jak infrastruktura miejska , odporność cyfrowa oraz rozwiązania z zakresu cyberbezpieczeństwa i AI mogą wzmacniać zdolność państwa do reagowania na zagrożenia oraz zwiększać bezpieczeństwo.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Bezpieczeństwo państwa jako system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sz w:val="24"/>
          <w:szCs w:val="24"/>
        </w:rPr>
      </w:pPr>
      <w:bookmarkStart w:colFirst="0" w:colLast="0" w:name="_i2d6ia1fdnla" w:id="0"/>
      <w:bookmarkEnd w:id="0"/>
      <w:r w:rsidDel="00000000" w:rsidR="00000000" w:rsidRPr="00000000">
        <w:rPr>
          <w:sz w:val="24"/>
          <w:szCs w:val="24"/>
          <w:rtl w:val="0"/>
        </w:rPr>
        <w:t xml:space="preserve">Wydarzenie rozpocznie omówienie wyzwań stojących przed państwem w perspektywie długoterminowej – horyzont 2036. W centrum uwagi znajdzie się </w:t>
      </w:r>
      <w:r w:rsidDel="00000000" w:rsidR="00000000" w:rsidRPr="00000000">
        <w:rPr>
          <w:sz w:val="24"/>
          <w:szCs w:val="24"/>
          <w:rtl w:val="0"/>
        </w:rPr>
        <w:t xml:space="preserve">odporność cyfrowa jako filar obronności, </w:t>
      </w:r>
      <w:r w:rsidDel="00000000" w:rsidR="00000000" w:rsidRPr="00000000">
        <w:rPr>
          <w:sz w:val="24"/>
          <w:szCs w:val="24"/>
          <w:rtl w:val="0"/>
        </w:rPr>
        <w:t xml:space="preserve">ale także współpraca międzynarodowa i partnerstwa strategiczne</w:t>
      </w:r>
      <w:r w:rsidDel="00000000" w:rsidR="00000000" w:rsidRPr="00000000">
        <w:rPr>
          <w:sz w:val="24"/>
          <w:szCs w:val="24"/>
          <w:rtl w:val="0"/>
        </w:rPr>
        <w:t xml:space="preserve">. Wszystko to pozwoli na ocenę sprawczości państwa oraz rynku w obszarze bezpieczeństwa.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sz w:val="24"/>
          <w:szCs w:val="24"/>
        </w:rPr>
      </w:pPr>
      <w:bookmarkStart w:colFirst="0" w:colLast="0" w:name="_n20rw8xrz8hr" w:id="1"/>
      <w:bookmarkEnd w:id="1"/>
      <w:r w:rsidDel="00000000" w:rsidR="00000000" w:rsidRPr="00000000">
        <w:rPr>
          <w:sz w:val="24"/>
          <w:szCs w:val="24"/>
          <w:rtl w:val="0"/>
        </w:rPr>
        <w:t xml:space="preserve">Kole</w:t>
      </w:r>
      <w:r w:rsidDel="00000000" w:rsidR="00000000" w:rsidRPr="00000000">
        <w:rPr>
          <w:sz w:val="24"/>
          <w:szCs w:val="24"/>
          <w:rtl w:val="0"/>
        </w:rPr>
        <w:t xml:space="preserve">jny blok pokaże, jak sektor prywatny powinien wspierać system obrony cywilnej – zarówno jako partner infrastrukturalny, jak i inwestor w technologie o podwójnym zastosowaniu. Dyskusje obejmą modele finansowania, strategie PPP oraz fundusze Venture Capital i Private Equity</w:t>
      </w:r>
      <w:r w:rsidDel="00000000" w:rsidR="00000000" w:rsidRPr="00000000">
        <w:rPr>
          <w:sz w:val="24"/>
          <w:szCs w:val="24"/>
          <w:rtl w:val="0"/>
        </w:rPr>
        <w:t xml:space="preserve">. W zakresie finansów również dowiemy się więcej o warunkach kredytowych dla banków oraz jakie wymagania muszą spełniać wnioskodawcy, aby uzyskać wsparcie. Ważnym elementem panelu będzie dyskusja o strategicznym inwestowaniu w rozwój suwerennych technologii przez państwo, które będą fundamentem bezpieczeństwa narodowego. Eksperci opowiedzą także o tym jak przygotować się do zachowania bezpieczeństwa infrastruktury finansowej i płatniczej, która wymaga spójnego zarządzania instytucjami w sytuacjach wystąpienia kryzysu.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sz w:val="24"/>
          <w:szCs w:val="24"/>
        </w:rPr>
      </w:pPr>
      <w:bookmarkStart w:colFirst="0" w:colLast="0" w:name="_hzw4z491xo34" w:id="2"/>
      <w:bookmarkEnd w:id="2"/>
      <w:r w:rsidDel="00000000" w:rsidR="00000000" w:rsidRPr="00000000">
        <w:rPr>
          <w:sz w:val="24"/>
          <w:szCs w:val="24"/>
          <w:rtl w:val="0"/>
        </w:rPr>
        <w:t xml:space="preserve">Następny blok silnie akcentuje zagadnienia cyberbezpieczeństwa, odporności cyfrowej państwa oraz przeciwdziałania dezinformacji. Kluczowym tematem podczas tych rozważań będzie omówienie wpływu konfliktu zbrojnego na funkcjonowanie i ciągłość działania organizacji biznesowych. Poznamy też Cyber Tarczę, która stanowi narzędzie Państwa wspierające odporność organizacji na zagrożenia geopolityczne.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sz w:val="24"/>
          <w:szCs w:val="24"/>
        </w:rPr>
      </w:pPr>
      <w:bookmarkStart w:colFirst="0" w:colLast="0" w:name="_rgj1ftxkvz5m" w:id="3"/>
      <w:bookmarkEnd w:id="3"/>
      <w:r w:rsidDel="00000000" w:rsidR="00000000" w:rsidRPr="00000000">
        <w:rPr>
          <w:sz w:val="24"/>
          <w:szCs w:val="24"/>
          <w:rtl w:val="0"/>
        </w:rPr>
        <w:t xml:space="preserve">Kolejne dyskusje będą dotyczyły</w:t>
      </w:r>
      <w:r w:rsidDel="00000000" w:rsidR="00000000" w:rsidRPr="00000000">
        <w:rPr>
          <w:sz w:val="24"/>
          <w:szCs w:val="24"/>
          <w:rtl w:val="0"/>
        </w:rPr>
        <w:t xml:space="preserve"> wielozadaniowej infrastruktury miejskiej i GovTech, czyli rozważania o architekturze odporności – skuteczności podejmowania decyzji w przypadku zagrożeń i nowym podejściu do bezpieczeństwa miejskiego, ale również o technologiach „Dual-use City” – czy miasta stać na infrastrukturę, która nie jest gotowa na wojnę i kryzys. Podczas tego panelu dowiemy się więcej o podwójnym zastosowaniu technologii cyfrowych w miastach, takich jak IoT, 5G czy Digital Twin.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sz w:val="24"/>
          <w:szCs w:val="24"/>
        </w:rPr>
      </w:pPr>
      <w:bookmarkStart w:colFirst="0" w:colLast="0" w:name="_avggihpxcylx" w:id="4"/>
      <w:bookmarkEnd w:id="4"/>
      <w:r w:rsidDel="00000000" w:rsidR="00000000" w:rsidRPr="00000000">
        <w:rPr>
          <w:sz w:val="24"/>
          <w:szCs w:val="24"/>
          <w:rtl w:val="0"/>
        </w:rPr>
        <w:t xml:space="preserve">Smart ulica jako komplementarny system</w:t>
      </w:r>
      <w:r w:rsidDel="00000000" w:rsidR="00000000" w:rsidRPr="00000000">
        <w:rPr>
          <w:sz w:val="24"/>
          <w:szCs w:val="24"/>
          <w:rtl w:val="0"/>
        </w:rPr>
        <w:t xml:space="preserve"> to temat następnego panelu, który rozwinie zagadnienie Digital Twin w planowaniu, prognozowaniu i zarządzaniu w czasie rzeczywistym, ale również pokaże jak technologia redefiniuje dostępność miejskiej przestrzeni. W tym bloku eksperci wrócą do sieci 5G w kontekście fundamentu skalowalności usług miejskich i rozwiną temat zintegrowanych systemów państwowych i miejskich, takich jak Geoportal, Hydroportal i Centra Operacyjne.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Pierwszy dzień wydarzenia zakończy blok poświęcony aplikacjom miejskim. Dyskusje będą skupiać się na tym jak projektować platformy angażujące mieszkańców do działania na rzecz miasta oraz o Urban Lab i konsultacji społecznych jako narzędzi do testowania funkcjonalności usług miejskich. Prelegenci rozszerzą zagadnienia z dziedziny nowych modeli interakcji – cyfrowej tożsamości, podpisów i e-doręczeń, jak również o współdzieleniu infrastruktury i udostępniania oprogramowania przez JST.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Smart City i administracja przyszłości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Drugi dzień kongresu rozpocznie panel poświęcony roli samorządów w budowaniu bezpieczeństwa. Będziemy mogli wysłuchać dyskusji dotyczących systemów monitorowania miasta, które mają wykrywać zagrożenia, zadań samorządów w ochronie ludności i obronie cywilnej oraz zarządzania procesami logistycznymi w obszarze bezpieczeństwa – czyli przygotowania na scenariusze wysokiego ryzyka. Eksperci dotkną tematów związanych z Hubem komunikacyjnym i architekturą informacyjną Państwa oraz jak lokalne inicjatywy i Urbanlaby mogłyby wspierać miejską strategię odporności.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kolejnym bloku Prelegenci skoncentrują się na zrównoważonym rozwoju miasta. Istotnym obszarem będą rozmowy o inteligentnych technologiach oraz pomysły w jaki sposób mogą one generować oszczędności, przewidywać awarie i optymalizować zużycie zasobów, opierając wiedzę na podstawie najnowszych wdrożeń. Poruszony zostanie także problem tzw. paradoksu papieru, czyli rosnącego zużycia dokumentów mimo wdrożenia elektronicznego obiegu.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późniejszych panelach spotkamy się z zagadnieniami dotyczącymi roli danych i sztucznej inteligencji w nowoczesnym zarządzaniu miastem. Panel „Analityk miejski” opowie, jak rozwijać podejście analityczne wśród pracowników urzędu oraz przekształcać administrację w organizację opartą na danych – bez utraty ciągłości działania i stabilności procesów. Prelegenci poruszą również kwestie integracji rozproszonych systemów, ryzyka vendor lock-in oraz realnych korzyści i ograniczeń big data, AI oraz otwartego oprogramowania.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części poświęconej sztucznej inteligencji w administracji publicznej rozmowa będzie dotyczyć przejścia od „shadow AI” do odpowiedzialnych, mierzalnych wdrożeń i automatyzacji zadań urzędowych. Omówione zostaną również progi jakościowe i mechanizmy kontroli błędów, w tym kwestie halucynacji modeli, dezinformacji oraz bezpieczeństwa systemów AI.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Tegoroczne wydarzenie Smart City Forum to nie tylko rozmowa o cyfrowych narzędziach i innowacjach, ale przede wszystkim o odpowiedzialnym zarządzaniu miastem w czasach niepewności. Wspólnym mianownikiem wszystkich debat będzie budowanie miast świadomych danych, technologicznie niezależnych i przygotowanych na sytuacje kryzysowe, opartych na współpracy samorządów, administracji centralnej i sektora prywatnego.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Kongres jest realizowany w ramach działalności MMC Polska, organizującej prestiżowe kongresy, konferencje, warsztaty i szkolenia biznesowe dedykowane kadrze menedżerskiej oraz zarządom firm. Więcej na www.mmcpolska.pl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